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B8D" w:rsidRPr="00B72B8D" w:rsidRDefault="00B72B8D" w:rsidP="00B72B8D">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r w:rsidRPr="00B72B8D">
        <w:rPr>
          <w:rFonts w:ascii="Times New Roman" w:eastAsia="Times New Roman" w:hAnsi="Times New Roman" w:cs="Times New Roman"/>
          <w:b/>
          <w:bCs/>
          <w:sz w:val="36"/>
          <w:szCs w:val="36"/>
        </w:rPr>
        <w:t>Letter to Physicians: Four New Scientific Discoveries Regarding the Safety and Efficacy of COVID-19 Vaccines</w:t>
      </w:r>
    </w:p>
    <w:bookmarkEnd w:id="0"/>
    <w:p w:rsidR="00B72B8D" w:rsidRDefault="00B72B8D">
      <w:r>
        <w:fldChar w:fldCharType="begin"/>
      </w:r>
      <w:r>
        <w:instrText xml:space="preserve"> HYPERLINK "</w:instrText>
      </w:r>
      <w:r w:rsidRPr="00B72B8D">
        <w:instrText>https://www.globalresearch.ca/letter-physicians-four-new-scientific-discoveries-regarding-safety-efficacy-covid-19-vaccines/5749946</w:instrText>
      </w:r>
      <w:r>
        <w:instrText xml:space="preserve">" </w:instrText>
      </w:r>
      <w:r>
        <w:fldChar w:fldCharType="separate"/>
      </w:r>
      <w:r w:rsidRPr="001A4E4C">
        <w:rPr>
          <w:rStyle w:val="Hyperlink"/>
        </w:rPr>
        <w:t>https://www.globalresearch.ca/letter-physicians-four-new-scientific-discoveries-regarding-safety-efficacy-covid-19-vaccines/5749946</w:t>
      </w:r>
      <w:r>
        <w:fldChar w:fldCharType="end"/>
      </w:r>
    </w:p>
    <w:p w:rsidR="00B72B8D" w:rsidRDefault="00B72B8D"/>
    <w:p w:rsidR="00B72B8D" w:rsidRDefault="00B72B8D" w:rsidP="00B72B8D">
      <w:r>
        <w:t xml:space="preserve">By </w:t>
      </w:r>
      <w:hyperlink r:id="rId5" w:tooltip="Posts by Doctors for COVID Ethics" w:history="1">
        <w:r>
          <w:rPr>
            <w:rStyle w:val="Hyperlink"/>
          </w:rPr>
          <w:t>Doctors for COVID Ethics</w:t>
        </w:r>
      </w:hyperlink>
    </w:p>
    <w:p w:rsidR="00B72B8D" w:rsidRDefault="00B72B8D" w:rsidP="00B72B8D">
      <w:r>
        <w:t>Global Research, July 13, 2021</w:t>
      </w:r>
    </w:p>
    <w:p w:rsidR="00B72B8D" w:rsidRDefault="00B72B8D" w:rsidP="00B72B8D">
      <w:hyperlink r:id="rId6" w:tgtFrame="_blank" w:history="1">
        <w:r>
          <w:rPr>
            <w:rStyle w:val="Hyperlink"/>
          </w:rPr>
          <w:t>Doctors for COVID Ethics</w:t>
        </w:r>
      </w:hyperlink>
      <w:r>
        <w:t xml:space="preserve"> 9 July 2021</w:t>
      </w:r>
    </w:p>
    <w:p w:rsidR="00B72B8D" w:rsidRDefault="00B72B8D" w:rsidP="00B72B8D">
      <w:r>
        <w:t xml:space="preserve">Theme: </w:t>
      </w:r>
      <w:hyperlink r:id="rId7" w:history="1">
        <w:r>
          <w:rPr>
            <w:rStyle w:val="Hyperlink"/>
          </w:rPr>
          <w:t>Science and Medicine</w:t>
        </w:r>
      </w:hyperlink>
    </w:p>
    <w:p w:rsidR="00B72B8D" w:rsidRDefault="00B72B8D" w:rsidP="00B72B8D">
      <w:pPr>
        <w:pStyle w:val="NormalWeb"/>
        <w:spacing w:before="150" w:beforeAutospacing="0" w:after="150" w:afterAutospacing="0"/>
      </w:pPr>
      <w:r>
        <w:rPr>
          <w:noProof/>
          <w:color w:val="0000FF"/>
        </w:rPr>
        <w:drawing>
          <wp:inline distT="0" distB="0" distL="0" distR="0">
            <wp:extent cx="605790" cy="605790"/>
            <wp:effectExtent l="0" t="0" r="3810" b="3810"/>
            <wp:docPr id="3" name="Picture 3" descr="https://www.globalresearch.ca/wp-content/plugins/print-me/images/printm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lobalresearch.ca/wp-content/plugins/print-me/images/printme.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noFill/>
                    <a:ln>
                      <a:noFill/>
                    </a:ln>
                  </pic:spPr>
                </pic:pic>
              </a:graphicData>
            </a:graphic>
          </wp:inline>
        </w:drawing>
      </w:r>
    </w:p>
    <w:p w:rsidR="00B72B8D" w:rsidRDefault="00B72B8D" w:rsidP="00B72B8D">
      <w:r>
        <w:rPr>
          <w:noProof/>
          <w:color w:val="0000FF"/>
        </w:rPr>
        <w:drawing>
          <wp:inline distT="0" distB="0" distL="0" distR="0">
            <wp:extent cx="546100" cy="605790"/>
            <wp:effectExtent l="0" t="0" r="6350" b="3810"/>
            <wp:docPr id="2" name="Picture 2" descr="https://www.globalresearch.ca/wp-content/uploads/2021/05/pdf01.pn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lobalresearch.ca/wp-content/uploads/2021/05/pdf01.pn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100" cy="605790"/>
                    </a:xfrm>
                    <a:prstGeom prst="rect">
                      <a:avLst/>
                    </a:prstGeom>
                    <a:noFill/>
                    <a:ln>
                      <a:noFill/>
                    </a:ln>
                  </pic:spPr>
                </pic:pic>
              </a:graphicData>
            </a:graphic>
          </wp:inline>
        </w:drawing>
      </w:r>
    </w:p>
    <w:p w:rsidR="00B72B8D" w:rsidRDefault="00B72B8D" w:rsidP="00B72B8D">
      <w:r>
        <w:rPr>
          <w:noProof/>
        </w:rPr>
        <w:drawing>
          <wp:inline distT="0" distB="0" distL="0" distR="0">
            <wp:extent cx="3811905" cy="1520190"/>
            <wp:effectExtent l="0" t="0" r="0" b="3810"/>
            <wp:docPr id="1" name="Picture 1" descr="https://www.globalresearch.ca/wp-content/uploads/2021/07/Endothelial-histology-narrow-400x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lobalresearch.ca/wp-content/uploads/2021/07/Endothelial-histology-narrow-400x16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1905" cy="1520190"/>
                    </a:xfrm>
                    <a:prstGeom prst="rect">
                      <a:avLst/>
                    </a:prstGeom>
                    <a:noFill/>
                    <a:ln>
                      <a:noFill/>
                    </a:ln>
                  </pic:spPr>
                </pic:pic>
              </a:graphicData>
            </a:graphic>
          </wp:inline>
        </w:drawing>
      </w:r>
    </w:p>
    <w:p w:rsidR="00B72B8D" w:rsidRDefault="00B72B8D" w:rsidP="00B72B8D">
      <w:pPr>
        <w:pStyle w:val="NormalWeb"/>
      </w:pPr>
      <w:r>
        <w:t>All Global Research articles can be read in 51 languages by activating the “Translate Website” drop down menu on the top banner of our home page (Desktop version).</w:t>
      </w:r>
      <w:r>
        <w:rPr>
          <w:rStyle w:val="apple-converted-space"/>
        </w:rPr>
        <w:t> </w:t>
      </w:r>
    </w:p>
    <w:p w:rsidR="00B72B8D" w:rsidRDefault="00B72B8D" w:rsidP="00B72B8D">
      <w:pPr>
        <w:pStyle w:val="NormalWeb"/>
      </w:pPr>
      <w:r>
        <w:t xml:space="preserve">Visit and follow us on </w:t>
      </w:r>
      <w:proofErr w:type="spellStart"/>
      <w:r>
        <w:t>Instagram</w:t>
      </w:r>
      <w:proofErr w:type="spellEnd"/>
      <w:r>
        <w:t xml:space="preserve"> at </w:t>
      </w:r>
      <w:hyperlink r:id="rId13" w:history="1">
        <w:r>
          <w:rPr>
            <w:rStyle w:val="Hyperlink"/>
          </w:rPr>
          <w:t>@</w:t>
        </w:r>
        <w:proofErr w:type="spellStart"/>
        <w:r>
          <w:rPr>
            <w:rStyle w:val="Hyperlink"/>
          </w:rPr>
          <w:t>crg_globalresearch</w:t>
        </w:r>
        <w:proofErr w:type="spellEnd"/>
        <w:r>
          <w:rPr>
            <w:rStyle w:val="Hyperlink"/>
          </w:rPr>
          <w:t>.</w:t>
        </w:r>
      </w:hyperlink>
    </w:p>
    <w:p w:rsidR="00B72B8D" w:rsidRDefault="00B72B8D" w:rsidP="00B72B8D">
      <w:pPr>
        <w:pStyle w:val="NormalWeb"/>
      </w:pPr>
      <w:r>
        <w:t>***</w:t>
      </w:r>
    </w:p>
    <w:p w:rsidR="00B72B8D" w:rsidRDefault="00B72B8D" w:rsidP="00B72B8D">
      <w:pPr>
        <w:pStyle w:val="NormalWeb"/>
      </w:pPr>
      <w:proofErr w:type="gramStart"/>
      <w:r>
        <w:rPr>
          <w:rStyle w:val="Emphasis"/>
        </w:rPr>
        <w:t xml:space="preserve">Doctors for </w:t>
      </w:r>
      <w:proofErr w:type="spellStart"/>
      <w:r>
        <w:rPr>
          <w:rStyle w:val="Emphasis"/>
        </w:rPr>
        <w:t>Covid</w:t>
      </w:r>
      <w:proofErr w:type="spellEnd"/>
      <w:r>
        <w:rPr>
          <w:rStyle w:val="Emphasis"/>
        </w:rPr>
        <w:t xml:space="preserve"> Ethics has</w:t>
      </w:r>
      <w:proofErr w:type="gramEnd"/>
      <w:r>
        <w:rPr>
          <w:rStyle w:val="Emphasis"/>
        </w:rPr>
        <w:t xml:space="preserve"> sent the following letter to tens of thousands of doctors in Europe, </w:t>
      </w:r>
      <w:proofErr w:type="spellStart"/>
      <w:r>
        <w:rPr>
          <w:rStyle w:val="Emphasis"/>
        </w:rPr>
        <w:t>summarising</w:t>
      </w:r>
      <w:proofErr w:type="spellEnd"/>
      <w:r>
        <w:rPr>
          <w:rStyle w:val="Emphasis"/>
        </w:rPr>
        <w:t xml:space="preserve"> four recent scientific findings critical to the COVID-19 vaccination program. The letter explains each finding as it relates to the biology of COVID-19 vaccines, including interactions with the immune system</w:t>
      </w:r>
      <w:r>
        <w:rPr>
          <w:rStyle w:val="has-inline-color"/>
        </w:rPr>
        <w:t xml:space="preserve">. </w:t>
      </w:r>
    </w:p>
    <w:p w:rsidR="00B72B8D" w:rsidRDefault="00B72B8D" w:rsidP="00B72B8D">
      <w:pPr>
        <w:pStyle w:val="NormalWeb"/>
      </w:pPr>
      <w:r>
        <w:rPr>
          <w:rStyle w:val="has-inline-color"/>
          <w:i/>
          <w:iCs/>
        </w:rPr>
        <w:lastRenderedPageBreak/>
        <w:t>Taken together, the letter warns that these new pieces of evidence force all physicians administering COVID-19 vaccines to re-evaluate the merits of COVID-19 vaccination, in the interests of their own ethical standing, and their patients’ safety and health</w:t>
      </w:r>
      <w:r>
        <w:t>.</w:t>
      </w:r>
    </w:p>
    <w:p w:rsidR="00B72B8D" w:rsidRDefault="00B72B8D" w:rsidP="00B72B8D">
      <w:pPr>
        <w:pStyle w:val="NormalWeb"/>
      </w:pPr>
      <w:r>
        <w:t xml:space="preserve">A video explanation of the underlying immunology by </w:t>
      </w:r>
      <w:r>
        <w:rPr>
          <w:rStyle w:val="Strong"/>
        </w:rPr>
        <w:t xml:space="preserve">Professor </w:t>
      </w:r>
      <w:proofErr w:type="spellStart"/>
      <w:r>
        <w:rPr>
          <w:rStyle w:val="Strong"/>
        </w:rPr>
        <w:t>Sucharit</w:t>
      </w:r>
      <w:proofErr w:type="spellEnd"/>
      <w:r>
        <w:rPr>
          <w:rStyle w:val="Strong"/>
        </w:rPr>
        <w:t xml:space="preserve"> </w:t>
      </w:r>
      <w:proofErr w:type="spellStart"/>
      <w:r>
        <w:rPr>
          <w:rStyle w:val="Strong"/>
        </w:rPr>
        <w:t>Bhakdi</w:t>
      </w:r>
      <w:proofErr w:type="spellEnd"/>
      <w:r>
        <w:t xml:space="preserve"> MD is </w:t>
      </w:r>
      <w:hyperlink r:id="rId14" w:history="1">
        <w:r>
          <w:rPr>
            <w:rStyle w:val="Hyperlink"/>
          </w:rPr>
          <w:t>here</w:t>
        </w:r>
      </w:hyperlink>
      <w:r>
        <w:t xml:space="preserve">, with German subtitles </w:t>
      </w:r>
      <w:hyperlink r:id="rId15" w:history="1">
        <w:r>
          <w:rPr>
            <w:rStyle w:val="Hyperlink"/>
          </w:rPr>
          <w:t>here</w:t>
        </w:r>
      </w:hyperlink>
      <w:r>
        <w:t>.</w:t>
      </w:r>
    </w:p>
    <w:p w:rsidR="00B72B8D" w:rsidRDefault="00B72B8D" w:rsidP="00B72B8D">
      <w:pPr>
        <w:pStyle w:val="NormalWeb"/>
      </w:pPr>
      <w:r>
        <w:t>*</w:t>
      </w:r>
    </w:p>
    <w:p w:rsidR="00B72B8D" w:rsidRDefault="00B72B8D" w:rsidP="00B72B8D">
      <w:pPr>
        <w:pStyle w:val="NormalWeb"/>
      </w:pPr>
      <w:r>
        <w:t>Dear Colleague:</w:t>
      </w:r>
    </w:p>
    <w:p w:rsidR="00B72B8D" w:rsidRDefault="00B72B8D" w:rsidP="00B72B8D">
      <w:pPr>
        <w:pStyle w:val="NormalWeb"/>
      </w:pPr>
      <w:r>
        <w:t>Four recent scientific discoveries are herewith brought to your urgent attention. They alter the entire landscape of the COVID-19 pandemic, and they force us to reassess the merits of vaccination against SARS-CoV-2.</w:t>
      </w:r>
    </w:p>
    <w:p w:rsidR="00B72B8D" w:rsidRDefault="00B72B8D" w:rsidP="00B72B8D">
      <w:pPr>
        <w:pStyle w:val="NormalWeb"/>
      </w:pPr>
      <w:r>
        <w:rPr>
          <w:rStyle w:val="Strong"/>
        </w:rPr>
        <w:t>Summary</w:t>
      </w:r>
    </w:p>
    <w:p w:rsidR="00B72B8D" w:rsidRDefault="00B72B8D" w:rsidP="00B72B8D">
      <w:pPr>
        <w:pStyle w:val="NormalWeb"/>
      </w:pPr>
      <w:r>
        <w:t>Rapid and efficient memory-type immune responses occur reliably in virtually all unvaccinated individuals who are exposed to SARS-CoV-2. The effectiveness of further boosting the immune response through vaccination is therefore highly doubtful. Vaccination may instead aggravate disease through antibody-dependent enhancement (ADE).</w:t>
      </w:r>
    </w:p>
    <w:p w:rsidR="00B72B8D" w:rsidRDefault="00B72B8D" w:rsidP="00B72B8D">
      <w:pPr>
        <w:pStyle w:val="NormalWeb"/>
      </w:pPr>
      <w:r>
        <w:rPr>
          <w:rStyle w:val="Strong"/>
        </w:rPr>
        <w:t>Discovery 1: SARS-CoV-2 spike protein circulates shortly after vaccination</w:t>
      </w:r>
    </w:p>
    <w:p w:rsidR="00B72B8D" w:rsidRDefault="00B72B8D" w:rsidP="00B72B8D">
      <w:pPr>
        <w:pStyle w:val="NormalWeb"/>
      </w:pPr>
      <w:r>
        <w:t xml:space="preserve">SARS-CoV-2 proteins were measured in longitudinal plasma samples collected from 13 participants who received two doses of </w:t>
      </w:r>
      <w:proofErr w:type="spellStart"/>
      <w:r>
        <w:t>Moderna</w:t>
      </w:r>
      <w:proofErr w:type="spellEnd"/>
      <w:r>
        <w:t xml:space="preserve"> mRNA-1273 vaccine [1]. With 11 of the 13, the SARS-CoV-2 spike protein was detected in the blood within only one day after the first vaccine injection.</w:t>
      </w:r>
    </w:p>
    <w:p w:rsidR="00B72B8D" w:rsidRDefault="00B72B8D" w:rsidP="00B72B8D">
      <w:pPr>
        <w:pStyle w:val="NormalWeb"/>
      </w:pPr>
      <w:proofErr w:type="gramStart"/>
      <w:r>
        <w:rPr>
          <w:rStyle w:val="Strong"/>
        </w:rPr>
        <w:t>Significance.</w:t>
      </w:r>
      <w:proofErr w:type="gramEnd"/>
      <w:r>
        <w:t xml:space="preserve"> Spike protein molecules were produced within cells that are in contact with the bloodstream—mostly endothelial cells—and released into the circulation. This means that a) the immune system will attack those endothelial cells, and b) the circulating spike protein molecules will activate thrombocytes. Both effects will promote blood clotting. This explains the many clotting-related adverse events—stroke, heart attack, venous thrombosis—that are being reported after vaccination.</w:t>
      </w:r>
    </w:p>
    <w:p w:rsidR="00B72B8D" w:rsidRDefault="00B72B8D" w:rsidP="00B72B8D">
      <w:pPr>
        <w:pStyle w:val="NormalWeb"/>
      </w:pPr>
      <w:r>
        <w:rPr>
          <w:rStyle w:val="Strong"/>
        </w:rPr>
        <w:t>Discovery 2: Rapid, memory-type antibody response after vaccination</w:t>
      </w:r>
    </w:p>
    <w:p w:rsidR="00B72B8D" w:rsidRDefault="00B72B8D" w:rsidP="00B72B8D">
      <w:pPr>
        <w:pStyle w:val="NormalWeb"/>
      </w:pPr>
      <w:r>
        <w:t xml:space="preserve">Several studies have demonstrated that circulating SARS-CoV-2-specific </w:t>
      </w:r>
      <w:proofErr w:type="spellStart"/>
      <w:r>
        <w:t>IgG</w:t>
      </w:r>
      <w:proofErr w:type="spellEnd"/>
      <w:r>
        <w:t xml:space="preserve"> and IgA antibodies became detectable within 1-2 weeks after application of mRNA vaccines [1–3].</w:t>
      </w:r>
    </w:p>
    <w:p w:rsidR="00B72B8D" w:rsidRDefault="00B72B8D" w:rsidP="00B72B8D">
      <w:pPr>
        <w:pStyle w:val="NormalWeb"/>
      </w:pPr>
      <w:proofErr w:type="gramStart"/>
      <w:r>
        <w:rPr>
          <w:rStyle w:val="Strong"/>
        </w:rPr>
        <w:t>Significance.</w:t>
      </w:r>
      <w:proofErr w:type="gramEnd"/>
      <w:r>
        <w:t xml:space="preserve"> Rapid production of </w:t>
      </w:r>
      <w:proofErr w:type="spellStart"/>
      <w:r>
        <w:t>IgG</w:t>
      </w:r>
      <w:proofErr w:type="spellEnd"/>
      <w:r>
        <w:t xml:space="preserve"> and IgA always indicates a secondary, memory-type response that is elicited through re-stimulation of pre-existing immune cells. Primary immune responses to novel antigens take longer to evolve and initially produce </w:t>
      </w:r>
      <w:proofErr w:type="spellStart"/>
      <w:r>
        <w:t>IgM</w:t>
      </w:r>
      <w:proofErr w:type="spellEnd"/>
      <w:r>
        <w:t xml:space="preserve"> antibodies, which is then followed by the </w:t>
      </w:r>
      <w:proofErr w:type="spellStart"/>
      <w:r>
        <w:t>isotype</w:t>
      </w:r>
      <w:proofErr w:type="spellEnd"/>
      <w:r>
        <w:t xml:space="preserve"> switch to </w:t>
      </w:r>
      <w:proofErr w:type="spellStart"/>
      <w:r>
        <w:t>IgG</w:t>
      </w:r>
      <w:proofErr w:type="spellEnd"/>
      <w:r>
        <w:t xml:space="preserve"> and IgA.</w:t>
      </w:r>
    </w:p>
    <w:p w:rsidR="00B72B8D" w:rsidRDefault="00B72B8D" w:rsidP="00B72B8D">
      <w:pPr>
        <w:pStyle w:val="NormalWeb"/>
      </w:pPr>
      <w:r>
        <w:t xml:space="preserve">A certain amount of </w:t>
      </w:r>
      <w:proofErr w:type="spellStart"/>
      <w:r>
        <w:t>IgM</w:t>
      </w:r>
      <w:proofErr w:type="spellEnd"/>
      <w:r>
        <w:t xml:space="preserve"> was indeed detected alongside </w:t>
      </w:r>
      <w:proofErr w:type="spellStart"/>
      <w:r>
        <w:t>IgG</w:t>
      </w:r>
      <w:proofErr w:type="spellEnd"/>
      <w:r>
        <w:t xml:space="preserve"> and IgA in some studies [1</w:t>
      </w:r>
      <w:proofErr w:type="gramStart"/>
      <w:r>
        <w:t>,4</w:t>
      </w:r>
      <w:proofErr w:type="gramEnd"/>
      <w:r>
        <w:t xml:space="preserve">]. Importantly, however, </w:t>
      </w:r>
      <w:proofErr w:type="spellStart"/>
      <w:r>
        <w:t>IgG</w:t>
      </w:r>
      <w:proofErr w:type="spellEnd"/>
      <w:r>
        <w:t xml:space="preserve"> rose faster than </w:t>
      </w:r>
      <w:proofErr w:type="spellStart"/>
      <w:r>
        <w:t>IgM</w:t>
      </w:r>
      <w:proofErr w:type="spellEnd"/>
      <w:r>
        <w:t xml:space="preserve"> [4], which confirms that the early </w:t>
      </w:r>
      <w:proofErr w:type="spellStart"/>
      <w:r>
        <w:t>IgG</w:t>
      </w:r>
      <w:proofErr w:type="spellEnd"/>
      <w:r>
        <w:t xml:space="preserve"> response was indeed of the memory type. This memory response indicates pre-existing, cross-reactive immunity due to previous infection with ordinary respiratory human coronavirus strains. The delayed </w:t>
      </w:r>
      <w:proofErr w:type="spellStart"/>
      <w:r>
        <w:t>IgM</w:t>
      </w:r>
      <w:proofErr w:type="spellEnd"/>
      <w:r>
        <w:t xml:space="preserve"> response most likely represents a primary response to novel epitopes which are specific to SARS-CoV-2.</w:t>
      </w:r>
    </w:p>
    <w:p w:rsidR="00B72B8D" w:rsidRDefault="00B72B8D" w:rsidP="00B72B8D">
      <w:pPr>
        <w:pStyle w:val="NormalWeb"/>
      </w:pPr>
      <w:r>
        <w:t>Memory-type responses have also been documented with respect to T-cell-mediated immunity [5–7]. Overall, these findings indicate that our immune system efficiently recognizes SARS-CoV-2 as “known” even on first contact. Severe cases of the disease thus cannot be ascribed to lacking immunity. Instead, severe cases might very well be caused or aggravated by pre-existing immunity through antibody-dependent enhancement (ADE, see below).</w:t>
      </w:r>
    </w:p>
    <w:p w:rsidR="00B72B8D" w:rsidRDefault="00B72B8D" w:rsidP="00B72B8D">
      <w:pPr>
        <w:pStyle w:val="NormalWeb"/>
      </w:pPr>
      <w:r>
        <w:rPr>
          <w:rStyle w:val="Strong"/>
        </w:rPr>
        <w:t>Discovery 3: SARS-CoV-2 elicits robust adaptive immune responses regardless of disease severity</w:t>
      </w:r>
    </w:p>
    <w:p w:rsidR="00B72B8D" w:rsidRDefault="00B72B8D" w:rsidP="00B72B8D">
      <w:pPr>
        <w:pStyle w:val="NormalWeb"/>
      </w:pPr>
      <w:r>
        <w:t xml:space="preserve">Serum antibody profiles were reported for 203 individuals following SARS-CoV-2 infection [8]. 202 (&gt;99%) of the participants exhibited SARS-CoV-2 specific antibodies. With 193 individuals (95%), these antibodies prevented SARS-CoV-2 infection in cell culture and also inhibited binding of the spike protein to the ACE2 receptor. Furthermore, CD8+ T-cell responses specific for SARS-CoV-2 were clear and quantifiable in 95 of 106 (90%) </w:t>
      </w:r>
      <w:proofErr w:type="gramStart"/>
      <w:r>
        <w:t>HLA-A2-positive individuals.</w:t>
      </w:r>
      <w:proofErr w:type="gramEnd"/>
    </w:p>
    <w:p w:rsidR="00B72B8D" w:rsidRDefault="00B72B8D" w:rsidP="00B72B8D">
      <w:pPr>
        <w:pStyle w:val="NormalWeb"/>
      </w:pPr>
      <w:proofErr w:type="gramStart"/>
      <w:r>
        <w:rPr>
          <w:rStyle w:val="Strong"/>
        </w:rPr>
        <w:t>Significance.</w:t>
      </w:r>
      <w:proofErr w:type="gramEnd"/>
      <w:r>
        <w:t xml:space="preserve"> This study confirms the above assertion that the immune response to initial contact with SARS-CoV-2 is of the memory type. In addition, it shows that this reaction occurs with almost all individuals, and particularly also with those who experience no manifest clinical symptoms.</w:t>
      </w:r>
    </w:p>
    <w:p w:rsidR="00B72B8D" w:rsidRDefault="00B72B8D" w:rsidP="00B72B8D">
      <w:pPr>
        <w:pStyle w:val="NormalWeb"/>
      </w:pPr>
      <w:r>
        <w:t>The goal of the vaccination is to stimulate production of antibodies to SARS-CoV-2, but we now know that such antibodies can and will be rapidly generated by everyone upon the slightest viral challenge, even without vaccination.</w:t>
      </w:r>
    </w:p>
    <w:p w:rsidR="00B72B8D" w:rsidRDefault="00B72B8D" w:rsidP="00B72B8D">
      <w:pPr>
        <w:pStyle w:val="NormalWeb"/>
      </w:pPr>
      <w:r>
        <w:t>Severe lung infections always take many days to develop, which means that if the antibodies generated by the memory response are needed, they will arrive on time. Therefore, vaccination is unlikely to provide significant benefit with respect to the prevention of severe lung infection.</w:t>
      </w:r>
    </w:p>
    <w:p w:rsidR="00B72B8D" w:rsidRDefault="00B72B8D" w:rsidP="00B72B8D">
      <w:pPr>
        <w:pStyle w:val="NormalWeb"/>
      </w:pPr>
      <w:r>
        <w:rPr>
          <w:rStyle w:val="Strong"/>
        </w:rPr>
        <w:t>Discovery 4: Rapid increase of spike protein antibodies after the second injection of mRNA vaccines</w:t>
      </w:r>
    </w:p>
    <w:p w:rsidR="00B72B8D" w:rsidRDefault="00B72B8D" w:rsidP="00B72B8D">
      <w:pPr>
        <w:pStyle w:val="NormalWeb"/>
      </w:pPr>
      <w:proofErr w:type="spellStart"/>
      <w:r>
        <w:t>IgG</w:t>
      </w:r>
      <w:proofErr w:type="spellEnd"/>
      <w:r>
        <w:t xml:space="preserve"> and IgA antibody </w:t>
      </w:r>
      <w:proofErr w:type="spellStart"/>
      <w:r>
        <w:t>titres</w:t>
      </w:r>
      <w:proofErr w:type="spellEnd"/>
      <w:r>
        <w:t xml:space="preserve"> were monitored before vaccination and after the first and the second injection of mRNA vaccines [3]. Antibody </w:t>
      </w:r>
      <w:proofErr w:type="spellStart"/>
      <w:r>
        <w:t>titres</w:t>
      </w:r>
      <w:proofErr w:type="spellEnd"/>
      <w:r>
        <w:t xml:space="preserve"> rose with some delay after the first injection, then plateaued, but rose again very shortly after the second injection.</w:t>
      </w:r>
    </w:p>
    <w:p w:rsidR="00B72B8D" w:rsidRDefault="00B72B8D" w:rsidP="00B72B8D">
      <w:pPr>
        <w:pStyle w:val="NormalWeb"/>
      </w:pPr>
      <w:proofErr w:type="gramStart"/>
      <w:r>
        <w:rPr>
          <w:rStyle w:val="Strong"/>
        </w:rPr>
        <w:t>Significance.</w:t>
      </w:r>
      <w:proofErr w:type="gramEnd"/>
      <w:r>
        <w:t xml:space="preserve"> Even though the antibody response to the first injection is of the memory type, the small time lag after the injection may mitigate adverse reactions, because the abundance of spike protein on the cells in the blood vessel walls and in other tissues may have already passed its peak when the antibodies arrive.</w:t>
      </w:r>
    </w:p>
    <w:p w:rsidR="00B72B8D" w:rsidRDefault="00B72B8D" w:rsidP="00B72B8D">
      <w:pPr>
        <w:pStyle w:val="NormalWeb"/>
      </w:pPr>
      <w:r>
        <w:t>The situation changes dramatically with the second injection. Then the spikes are produced and protrude into the bloodstream that is already swarming with both reactive lymphocytes and antibodies. The antibodies will cause the complement system [9</w:t>
      </w:r>
      <w:proofErr w:type="gramStart"/>
      <w:r>
        <w:t>,10</w:t>
      </w:r>
      <w:proofErr w:type="gramEnd"/>
      <w:r>
        <w:t>] and also neutrophil granulocytes to attack the spike protein-bearing cells. The possible consequences of all-out self-attack by the immune system are frightening.</w:t>
      </w:r>
    </w:p>
    <w:p w:rsidR="00B72B8D" w:rsidRDefault="00B72B8D" w:rsidP="00B72B8D">
      <w:pPr>
        <w:pStyle w:val="NormalWeb"/>
      </w:pPr>
      <w:r>
        <w:rPr>
          <w:rStyle w:val="Strong"/>
        </w:rPr>
        <w:t>Antibody-dependent enhancement of disease</w:t>
      </w:r>
    </w:p>
    <w:p w:rsidR="00B72B8D" w:rsidRDefault="00B72B8D" w:rsidP="00B72B8D">
      <w:pPr>
        <w:pStyle w:val="NormalWeb"/>
      </w:pPr>
      <w:r>
        <w:t xml:space="preserve">As described, memory-type immune responses ensure the rapid rise of antibody </w:t>
      </w:r>
      <w:proofErr w:type="spellStart"/>
      <w:r>
        <w:t>titres</w:t>
      </w:r>
      <w:proofErr w:type="spellEnd"/>
      <w:r>
        <w:t xml:space="preserve"> after initial exposure to SARS-CoV-2, rendering the benefit of vaccine-induced antibody response exceedingly doubtful. Regardless, we should not assume that high antibody </w:t>
      </w:r>
      <w:proofErr w:type="spellStart"/>
      <w:r>
        <w:t>titres</w:t>
      </w:r>
      <w:proofErr w:type="spellEnd"/>
      <w:r>
        <w:t xml:space="preserve"> against SARS-CoV-2 will always improve the clinical outcome. With several virus families—in particular with Dengue virus, but also with coronaviruses—antibodies can aggravate rather than mitigate disease. This occurs because certain cells of the immune system take up antibody-tagged microbes and destroy them. If a virus particle to which antibodies have bound is taken up by such a cell, but it then manages to evade destruction, it may instead start to multiply within the cell. Overall, the antibody will then have enhanced the replication of the virus. Clinically, this antibody-dependent enhancement (ADE) can cause a </w:t>
      </w:r>
      <w:proofErr w:type="spellStart"/>
      <w:r>
        <w:t>hyperinflammatory</w:t>
      </w:r>
      <w:proofErr w:type="spellEnd"/>
      <w:r>
        <w:t xml:space="preserve"> response (a “cytokine storm”) that will amplify the damage to the lungs, liver and other organs of our body.</w:t>
      </w:r>
    </w:p>
    <w:p w:rsidR="00B72B8D" w:rsidRDefault="00B72B8D" w:rsidP="00B72B8D">
      <w:pPr>
        <w:pStyle w:val="NormalWeb"/>
      </w:pPr>
      <w:r>
        <w:t>Attempts to develop vaccines to the original SARS virus, which is closely related to SARS-CoV-2, repeatedly failed due to ADE. The vaccines did induce antibodies, but when the vaccinated animals were subsequently infected with the virus, they became more ill than the unvaccinated controls (see e.g. [11]). The possibility of ADE was not adequately addressed in the clinical trials on any of the COVID-19 vaccines. It is therefore prudent to avoid the danger of inducing ADE through vaccination and instead rely on proven forms of treatment [12] for dealing with clinically severe COVID-19 disease.</w:t>
      </w:r>
    </w:p>
    <w:p w:rsidR="00B72B8D" w:rsidRDefault="00B72B8D" w:rsidP="00B72B8D">
      <w:pPr>
        <w:pStyle w:val="NormalWeb"/>
      </w:pPr>
      <w:r>
        <w:rPr>
          <w:rStyle w:val="Strong"/>
        </w:rPr>
        <w:t>Conclusion</w:t>
      </w:r>
    </w:p>
    <w:p w:rsidR="00B72B8D" w:rsidRDefault="00B72B8D" w:rsidP="00B72B8D">
      <w:pPr>
        <w:pStyle w:val="NormalWeb"/>
      </w:pPr>
      <w:r>
        <w:t>The collective findings discussed above clearly show that the benefits of vaccination are highly doubtful. In contrast, the harm the vaccines do is very well substantiated, with more than 15.000 vaccination-associated deaths now documented in the EU drug adverse events database (</w:t>
      </w:r>
      <w:proofErr w:type="spellStart"/>
      <w:r>
        <w:t>EudraVigilance</w:t>
      </w:r>
      <w:proofErr w:type="spellEnd"/>
      <w:r>
        <w:t>), and over 7.000 more deaths within the UK and the US [13].</w:t>
      </w:r>
    </w:p>
    <w:p w:rsidR="00B72B8D" w:rsidRDefault="00B72B8D" w:rsidP="00B72B8D">
      <w:pPr>
        <w:pStyle w:val="NormalWeb"/>
      </w:pPr>
      <w:r>
        <w:t>ALL PHYSICIANS MUST RECONSIDER THE ETHICAL ISSUES SURROUNDING COVID-19 VACCINATION.</w:t>
      </w:r>
    </w:p>
    <w:p w:rsidR="00B72B8D" w:rsidRDefault="00B72B8D" w:rsidP="00B72B8D">
      <w:pPr>
        <w:pStyle w:val="NormalWeb"/>
      </w:pPr>
      <w:r>
        <w:t>*</w:t>
      </w:r>
    </w:p>
    <w:p w:rsidR="00B72B8D" w:rsidRDefault="00B72B8D" w:rsidP="00B72B8D">
      <w:pPr>
        <w:pStyle w:val="NormalWeb"/>
      </w:pPr>
      <w:r>
        <w:t xml:space="preserve">Note to readers: Please click the share buttons above or below. Follow us on </w:t>
      </w:r>
      <w:proofErr w:type="spellStart"/>
      <w:r>
        <w:t>Instagram</w:t>
      </w:r>
      <w:proofErr w:type="spellEnd"/>
      <w:r>
        <w:t>, @</w:t>
      </w:r>
      <w:proofErr w:type="spellStart"/>
      <w:r>
        <w:t>crg_globalresearch</w:t>
      </w:r>
      <w:proofErr w:type="spellEnd"/>
      <w:r>
        <w:t xml:space="preserve">. Forward this article to your email lists. </w:t>
      </w:r>
      <w:proofErr w:type="spellStart"/>
      <w:proofErr w:type="gramStart"/>
      <w:r>
        <w:t>Crosspost</w:t>
      </w:r>
      <w:proofErr w:type="spellEnd"/>
      <w:r>
        <w:t xml:space="preserve"> on your blog site, internet forums.</w:t>
      </w:r>
      <w:proofErr w:type="gramEnd"/>
      <w:r>
        <w:t xml:space="preserve"> </w:t>
      </w:r>
      <w:proofErr w:type="gramStart"/>
      <w:r>
        <w:t>etc</w:t>
      </w:r>
      <w:proofErr w:type="gramEnd"/>
      <w:r>
        <w:t>.</w:t>
      </w:r>
    </w:p>
    <w:p w:rsidR="00B72B8D" w:rsidRDefault="00B72B8D" w:rsidP="00B72B8D">
      <w:pPr>
        <w:pStyle w:val="NormalWeb"/>
      </w:pPr>
      <w:r>
        <w:rPr>
          <w:rStyle w:val="Strong"/>
        </w:rPr>
        <w:t>Notes</w:t>
      </w:r>
    </w:p>
    <w:p w:rsidR="00B72B8D" w:rsidRDefault="00B72B8D" w:rsidP="00B72B8D">
      <w:pPr>
        <w:pStyle w:val="NormalWeb"/>
      </w:pPr>
      <w:r>
        <w:rPr>
          <w:sz w:val="20"/>
          <w:szCs w:val="20"/>
        </w:rPr>
        <w:t xml:space="preserve">1. Ogata, A.F. et al. (2021) Circulating SARS-CoV-2 Vaccine Antigen Detected in the Plasma of mRNA-1273 Vaccine Recipients. </w:t>
      </w:r>
      <w:hyperlink r:id="rId16" w:history="1">
        <w:proofErr w:type="spellStart"/>
        <w:proofErr w:type="gramStart"/>
        <w:r>
          <w:rPr>
            <w:rStyle w:val="Emphasis"/>
            <w:color w:val="0000FF"/>
            <w:sz w:val="20"/>
            <w:szCs w:val="20"/>
            <w:u w:val="single"/>
          </w:rPr>
          <w:t>Clin</w:t>
        </w:r>
        <w:proofErr w:type="spellEnd"/>
        <w:r>
          <w:rPr>
            <w:rStyle w:val="Emphasis"/>
            <w:color w:val="0000FF"/>
            <w:sz w:val="20"/>
            <w:szCs w:val="20"/>
            <w:u w:val="single"/>
          </w:rPr>
          <w:t>.</w:t>
        </w:r>
        <w:proofErr w:type="gramEnd"/>
        <w:r>
          <w:rPr>
            <w:rStyle w:val="Emphasis"/>
            <w:color w:val="0000FF"/>
            <w:sz w:val="20"/>
            <w:szCs w:val="20"/>
            <w:u w:val="single"/>
          </w:rPr>
          <w:t xml:space="preserve"> Infect. Dis.</w:t>
        </w:r>
        <w:r>
          <w:rPr>
            <w:rStyle w:val="Hyperlink"/>
            <w:sz w:val="20"/>
            <w:szCs w:val="20"/>
          </w:rPr>
          <w:t xml:space="preserve"> -</w:t>
        </w:r>
        <w:proofErr w:type="gramStart"/>
        <w:r>
          <w:rPr>
            <w:rStyle w:val="Hyperlink"/>
            <w:sz w:val="20"/>
            <w:szCs w:val="20"/>
          </w:rPr>
          <w:t>:x</w:t>
        </w:r>
        <w:proofErr w:type="gramEnd"/>
        <w:r>
          <w:rPr>
            <w:rStyle w:val="Hyperlink"/>
            <w:sz w:val="20"/>
            <w:szCs w:val="20"/>
          </w:rPr>
          <w:t>-x</w:t>
        </w:r>
      </w:hyperlink>
    </w:p>
    <w:p w:rsidR="00B72B8D" w:rsidRDefault="00B72B8D" w:rsidP="00B72B8D">
      <w:pPr>
        <w:pStyle w:val="NormalWeb"/>
      </w:pPr>
      <w:r>
        <w:rPr>
          <w:sz w:val="20"/>
          <w:szCs w:val="20"/>
        </w:rPr>
        <w:t xml:space="preserve">2. </w:t>
      </w:r>
      <w:proofErr w:type="spellStart"/>
      <w:r>
        <w:rPr>
          <w:sz w:val="20"/>
          <w:szCs w:val="20"/>
        </w:rPr>
        <w:t>Amanat</w:t>
      </w:r>
      <w:proofErr w:type="spellEnd"/>
      <w:r>
        <w:rPr>
          <w:sz w:val="20"/>
          <w:szCs w:val="20"/>
        </w:rPr>
        <w:t xml:space="preserve">, F. et al. (2021) SARS-CoV-2 mRNA vaccination induces functionally diverse antibodies to NTD, RBD and S2. </w:t>
      </w:r>
      <w:r>
        <w:rPr>
          <w:rStyle w:val="Emphasis"/>
          <w:sz w:val="20"/>
          <w:szCs w:val="20"/>
        </w:rPr>
        <w:t>Cell</w:t>
      </w:r>
      <w:r>
        <w:rPr>
          <w:sz w:val="20"/>
          <w:szCs w:val="20"/>
        </w:rPr>
        <w:t xml:space="preserve"> -</w:t>
      </w:r>
      <w:proofErr w:type="gramStart"/>
      <w:r>
        <w:rPr>
          <w:sz w:val="20"/>
          <w:szCs w:val="20"/>
        </w:rPr>
        <w:t>:x</w:t>
      </w:r>
      <w:proofErr w:type="gramEnd"/>
      <w:r>
        <w:rPr>
          <w:sz w:val="20"/>
          <w:szCs w:val="20"/>
        </w:rPr>
        <w:t>-x</w:t>
      </w:r>
    </w:p>
    <w:p w:rsidR="00B72B8D" w:rsidRDefault="00B72B8D" w:rsidP="00B72B8D">
      <w:pPr>
        <w:pStyle w:val="NormalWeb"/>
      </w:pPr>
      <w:r>
        <w:rPr>
          <w:sz w:val="20"/>
          <w:szCs w:val="20"/>
        </w:rPr>
        <w:t xml:space="preserve">3. </w:t>
      </w:r>
      <w:proofErr w:type="spellStart"/>
      <w:r>
        <w:rPr>
          <w:sz w:val="20"/>
          <w:szCs w:val="20"/>
        </w:rPr>
        <w:t>Wisnewski</w:t>
      </w:r>
      <w:proofErr w:type="spellEnd"/>
      <w:r>
        <w:rPr>
          <w:sz w:val="20"/>
          <w:szCs w:val="20"/>
        </w:rPr>
        <w:t xml:space="preserve">, A.V. et al. (2021) Human </w:t>
      </w:r>
      <w:proofErr w:type="spellStart"/>
      <w:r>
        <w:rPr>
          <w:sz w:val="20"/>
          <w:szCs w:val="20"/>
        </w:rPr>
        <w:t>IgG</w:t>
      </w:r>
      <w:proofErr w:type="spellEnd"/>
      <w:r>
        <w:rPr>
          <w:sz w:val="20"/>
          <w:szCs w:val="20"/>
        </w:rPr>
        <w:t xml:space="preserve"> and IgA responses to COVID-19 mRNA vaccines. </w:t>
      </w:r>
      <w:proofErr w:type="spellStart"/>
      <w:r>
        <w:rPr>
          <w:rStyle w:val="Emphasis"/>
          <w:sz w:val="20"/>
          <w:szCs w:val="20"/>
        </w:rPr>
        <w:t>PLoS</w:t>
      </w:r>
      <w:proofErr w:type="spellEnd"/>
      <w:r>
        <w:rPr>
          <w:rStyle w:val="Emphasis"/>
          <w:sz w:val="20"/>
          <w:szCs w:val="20"/>
        </w:rPr>
        <w:t xml:space="preserve"> One</w:t>
      </w:r>
      <w:r>
        <w:rPr>
          <w:sz w:val="20"/>
          <w:szCs w:val="20"/>
        </w:rPr>
        <w:t xml:space="preserve"> 16:e0249499</w:t>
      </w:r>
    </w:p>
    <w:p w:rsidR="00B72B8D" w:rsidRDefault="00B72B8D" w:rsidP="00B72B8D">
      <w:pPr>
        <w:pStyle w:val="NormalWeb"/>
      </w:pPr>
      <w:r>
        <w:rPr>
          <w:sz w:val="20"/>
          <w:szCs w:val="20"/>
        </w:rPr>
        <w:t xml:space="preserve">4. </w:t>
      </w:r>
      <w:proofErr w:type="spellStart"/>
      <w:r>
        <w:rPr>
          <w:sz w:val="20"/>
          <w:szCs w:val="20"/>
        </w:rPr>
        <w:t>Qu</w:t>
      </w:r>
      <w:proofErr w:type="spellEnd"/>
      <w:r>
        <w:rPr>
          <w:sz w:val="20"/>
          <w:szCs w:val="20"/>
        </w:rPr>
        <w:t xml:space="preserve">, J. et al. (2020) Profile of Immunoglobulin G and </w:t>
      </w:r>
      <w:proofErr w:type="spellStart"/>
      <w:r>
        <w:rPr>
          <w:sz w:val="20"/>
          <w:szCs w:val="20"/>
        </w:rPr>
        <w:t>IgM</w:t>
      </w:r>
      <w:proofErr w:type="spellEnd"/>
      <w:r>
        <w:rPr>
          <w:sz w:val="20"/>
          <w:szCs w:val="20"/>
        </w:rPr>
        <w:t xml:space="preserve"> Antibodies </w:t>
      </w:r>
      <w:proofErr w:type="gramStart"/>
      <w:r>
        <w:rPr>
          <w:sz w:val="20"/>
          <w:szCs w:val="20"/>
        </w:rPr>
        <w:t>Against</w:t>
      </w:r>
      <w:proofErr w:type="gramEnd"/>
      <w:r>
        <w:rPr>
          <w:sz w:val="20"/>
          <w:szCs w:val="20"/>
        </w:rPr>
        <w:t xml:space="preserve"> Severe Acute Respiratory Syndrome Coronavirus 2 (SARS-CoV-2). </w:t>
      </w:r>
      <w:proofErr w:type="spellStart"/>
      <w:proofErr w:type="gramStart"/>
      <w:r>
        <w:rPr>
          <w:rStyle w:val="Emphasis"/>
          <w:sz w:val="20"/>
          <w:szCs w:val="20"/>
        </w:rPr>
        <w:t>Clin</w:t>
      </w:r>
      <w:proofErr w:type="spellEnd"/>
      <w:r>
        <w:rPr>
          <w:rStyle w:val="Emphasis"/>
          <w:sz w:val="20"/>
          <w:szCs w:val="20"/>
        </w:rPr>
        <w:t>.</w:t>
      </w:r>
      <w:proofErr w:type="gramEnd"/>
      <w:r>
        <w:rPr>
          <w:rStyle w:val="Emphasis"/>
          <w:sz w:val="20"/>
          <w:szCs w:val="20"/>
        </w:rPr>
        <w:t xml:space="preserve"> Infect. Dis.</w:t>
      </w:r>
      <w:r>
        <w:rPr>
          <w:sz w:val="20"/>
          <w:szCs w:val="20"/>
        </w:rPr>
        <w:t xml:space="preserve"> 71:2255-2258</w:t>
      </w:r>
    </w:p>
    <w:p w:rsidR="00B72B8D" w:rsidRDefault="00B72B8D" w:rsidP="00B72B8D">
      <w:pPr>
        <w:pStyle w:val="NormalWeb"/>
      </w:pPr>
      <w:r>
        <w:rPr>
          <w:sz w:val="20"/>
          <w:szCs w:val="20"/>
        </w:rPr>
        <w:t xml:space="preserve">5. Le Bert, N. et al. (2020) SARS-CoV-2-specific T cell immunity in cases of COVID-19 and SARS, and uninfected controls. </w:t>
      </w:r>
      <w:r>
        <w:rPr>
          <w:rStyle w:val="Emphasis"/>
          <w:sz w:val="20"/>
          <w:szCs w:val="20"/>
        </w:rPr>
        <w:t>Nature</w:t>
      </w:r>
      <w:r>
        <w:rPr>
          <w:sz w:val="20"/>
          <w:szCs w:val="20"/>
        </w:rPr>
        <w:t xml:space="preserve"> 584:457-462</w:t>
      </w:r>
    </w:p>
    <w:p w:rsidR="00B72B8D" w:rsidRDefault="00B72B8D" w:rsidP="00B72B8D">
      <w:pPr>
        <w:pStyle w:val="NormalWeb"/>
      </w:pPr>
      <w:r>
        <w:rPr>
          <w:sz w:val="20"/>
          <w:szCs w:val="20"/>
        </w:rPr>
        <w:t xml:space="preserve">6. </w:t>
      </w:r>
      <w:proofErr w:type="spellStart"/>
      <w:r>
        <w:rPr>
          <w:sz w:val="20"/>
          <w:szCs w:val="20"/>
        </w:rPr>
        <w:t>Grifoni</w:t>
      </w:r>
      <w:proofErr w:type="spellEnd"/>
      <w:r>
        <w:rPr>
          <w:sz w:val="20"/>
          <w:szCs w:val="20"/>
        </w:rPr>
        <w:t xml:space="preserve">, A. et al. (2020) Targets of T </w:t>
      </w:r>
      <w:proofErr w:type="gramStart"/>
      <w:r>
        <w:rPr>
          <w:sz w:val="20"/>
          <w:szCs w:val="20"/>
        </w:rPr>
        <w:t>Cell</w:t>
      </w:r>
      <w:proofErr w:type="gramEnd"/>
      <w:r>
        <w:rPr>
          <w:sz w:val="20"/>
          <w:szCs w:val="20"/>
        </w:rPr>
        <w:t xml:space="preserve"> Responses to SARS-CoV-2 Coronavirus in Humans with COVID-19 Disease and Unexposed Individuals. </w:t>
      </w:r>
      <w:r>
        <w:rPr>
          <w:rStyle w:val="Emphasis"/>
          <w:sz w:val="20"/>
          <w:szCs w:val="20"/>
        </w:rPr>
        <w:t>Cell</w:t>
      </w:r>
      <w:r>
        <w:rPr>
          <w:sz w:val="20"/>
          <w:szCs w:val="20"/>
        </w:rPr>
        <w:t xml:space="preserve"> 181:1489-1501.e15</w:t>
      </w:r>
    </w:p>
    <w:p w:rsidR="00B72B8D" w:rsidRDefault="00B72B8D" w:rsidP="00B72B8D">
      <w:pPr>
        <w:pStyle w:val="NormalWeb"/>
      </w:pPr>
      <w:r>
        <w:rPr>
          <w:sz w:val="20"/>
          <w:szCs w:val="20"/>
        </w:rPr>
        <w:t xml:space="preserve">7. </w:t>
      </w:r>
      <w:proofErr w:type="spellStart"/>
      <w:r>
        <w:rPr>
          <w:sz w:val="20"/>
          <w:szCs w:val="20"/>
        </w:rPr>
        <w:t>Gallais</w:t>
      </w:r>
      <w:proofErr w:type="spellEnd"/>
      <w:r>
        <w:rPr>
          <w:sz w:val="20"/>
          <w:szCs w:val="20"/>
        </w:rPr>
        <w:t xml:space="preserve">, F. et al. (2021) </w:t>
      </w:r>
      <w:proofErr w:type="spellStart"/>
      <w:r>
        <w:rPr>
          <w:sz w:val="20"/>
          <w:szCs w:val="20"/>
        </w:rPr>
        <w:t>Intrafamilial</w:t>
      </w:r>
      <w:proofErr w:type="spellEnd"/>
      <w:r>
        <w:rPr>
          <w:sz w:val="20"/>
          <w:szCs w:val="20"/>
        </w:rPr>
        <w:t xml:space="preserve"> Exposure to SARS-CoV-2 Associated with Cellular Immune Response without </w:t>
      </w:r>
      <w:proofErr w:type="spellStart"/>
      <w:r>
        <w:rPr>
          <w:sz w:val="20"/>
          <w:szCs w:val="20"/>
        </w:rPr>
        <w:t>Seroconversion</w:t>
      </w:r>
      <w:proofErr w:type="spellEnd"/>
      <w:r>
        <w:rPr>
          <w:sz w:val="20"/>
          <w:szCs w:val="20"/>
        </w:rPr>
        <w:t xml:space="preserve">. </w:t>
      </w:r>
      <w:proofErr w:type="spellStart"/>
      <w:proofErr w:type="gramStart"/>
      <w:r>
        <w:rPr>
          <w:rStyle w:val="Emphasis"/>
          <w:sz w:val="20"/>
          <w:szCs w:val="20"/>
        </w:rPr>
        <w:t>Emerg</w:t>
      </w:r>
      <w:proofErr w:type="spellEnd"/>
      <w:r>
        <w:rPr>
          <w:rStyle w:val="Emphasis"/>
          <w:sz w:val="20"/>
          <w:szCs w:val="20"/>
        </w:rPr>
        <w:t>.</w:t>
      </w:r>
      <w:proofErr w:type="gramEnd"/>
      <w:r>
        <w:rPr>
          <w:rStyle w:val="Emphasis"/>
          <w:sz w:val="20"/>
          <w:szCs w:val="20"/>
        </w:rPr>
        <w:t xml:space="preserve"> Infect. Dis.</w:t>
      </w:r>
      <w:r>
        <w:rPr>
          <w:sz w:val="20"/>
          <w:szCs w:val="20"/>
        </w:rPr>
        <w:t xml:space="preserve"> 27</w:t>
      </w:r>
      <w:proofErr w:type="gramStart"/>
      <w:r>
        <w:rPr>
          <w:sz w:val="20"/>
          <w:szCs w:val="20"/>
        </w:rPr>
        <w:t>:x</w:t>
      </w:r>
      <w:proofErr w:type="gramEnd"/>
      <w:r>
        <w:rPr>
          <w:sz w:val="20"/>
          <w:szCs w:val="20"/>
        </w:rPr>
        <w:t>-x</w:t>
      </w:r>
    </w:p>
    <w:p w:rsidR="00B72B8D" w:rsidRDefault="00B72B8D" w:rsidP="00B72B8D">
      <w:pPr>
        <w:pStyle w:val="NormalWeb"/>
      </w:pPr>
      <w:r>
        <w:rPr>
          <w:sz w:val="20"/>
          <w:szCs w:val="20"/>
        </w:rPr>
        <w:t xml:space="preserve">8. Nielsen, S.S. et al. (2021) SARS-CoV-2 elicits robust adaptive immune responses regardless of disease severity. </w:t>
      </w:r>
      <w:proofErr w:type="spellStart"/>
      <w:r>
        <w:rPr>
          <w:rStyle w:val="Emphasis"/>
          <w:sz w:val="20"/>
          <w:szCs w:val="20"/>
        </w:rPr>
        <w:t>EBioMedicine</w:t>
      </w:r>
      <w:proofErr w:type="spellEnd"/>
      <w:r>
        <w:rPr>
          <w:sz w:val="20"/>
          <w:szCs w:val="20"/>
        </w:rPr>
        <w:t xml:space="preserve"> 68:103410</w:t>
      </w:r>
    </w:p>
    <w:p w:rsidR="00B72B8D" w:rsidRDefault="00B72B8D" w:rsidP="00B72B8D">
      <w:pPr>
        <w:pStyle w:val="NormalWeb"/>
      </w:pPr>
      <w:r>
        <w:rPr>
          <w:sz w:val="20"/>
          <w:szCs w:val="20"/>
        </w:rPr>
        <w:t xml:space="preserve">9. </w:t>
      </w:r>
      <w:proofErr w:type="spellStart"/>
      <w:r>
        <w:rPr>
          <w:sz w:val="20"/>
          <w:szCs w:val="20"/>
        </w:rPr>
        <w:t>Magro</w:t>
      </w:r>
      <w:proofErr w:type="spellEnd"/>
      <w:r>
        <w:rPr>
          <w:sz w:val="20"/>
          <w:szCs w:val="20"/>
        </w:rPr>
        <w:t xml:space="preserve">, C.M. et al. (2020) Docked severe acute respiratory syndrome coronavirus 2 proteins within the cutaneous and subcutaneous microvasculature and their role in the pathogenesis of severe coronavirus disease 2019. </w:t>
      </w:r>
      <w:r>
        <w:rPr>
          <w:rStyle w:val="Emphasis"/>
          <w:sz w:val="20"/>
          <w:szCs w:val="20"/>
        </w:rPr>
        <w:t xml:space="preserve">Hum. </w:t>
      </w:r>
      <w:proofErr w:type="spellStart"/>
      <w:proofErr w:type="gramStart"/>
      <w:r>
        <w:rPr>
          <w:rStyle w:val="Emphasis"/>
          <w:sz w:val="20"/>
          <w:szCs w:val="20"/>
        </w:rPr>
        <w:t>Pathol</w:t>
      </w:r>
      <w:proofErr w:type="spellEnd"/>
      <w:r>
        <w:rPr>
          <w:rStyle w:val="Emphasis"/>
          <w:sz w:val="20"/>
          <w:szCs w:val="20"/>
        </w:rPr>
        <w:t>.</w:t>
      </w:r>
      <w:proofErr w:type="gramEnd"/>
      <w:r>
        <w:rPr>
          <w:sz w:val="20"/>
          <w:szCs w:val="20"/>
        </w:rPr>
        <w:t xml:space="preserve"> 106:106-116</w:t>
      </w:r>
    </w:p>
    <w:p w:rsidR="00B72B8D" w:rsidRDefault="00B72B8D" w:rsidP="00B72B8D">
      <w:pPr>
        <w:pStyle w:val="NormalWeb"/>
      </w:pPr>
      <w:r>
        <w:rPr>
          <w:sz w:val="20"/>
          <w:szCs w:val="20"/>
        </w:rPr>
        <w:t xml:space="preserve">10. </w:t>
      </w:r>
      <w:proofErr w:type="spellStart"/>
      <w:r>
        <w:rPr>
          <w:sz w:val="20"/>
          <w:szCs w:val="20"/>
        </w:rPr>
        <w:t>Magro</w:t>
      </w:r>
      <w:proofErr w:type="spellEnd"/>
      <w:r>
        <w:rPr>
          <w:sz w:val="20"/>
          <w:szCs w:val="20"/>
        </w:rPr>
        <w:t xml:space="preserve">, C.M. et al. (2021) Severe COVID-19: A multifaceted viral </w:t>
      </w:r>
      <w:proofErr w:type="spellStart"/>
      <w:r>
        <w:rPr>
          <w:sz w:val="20"/>
          <w:szCs w:val="20"/>
        </w:rPr>
        <w:t>vasculopathy</w:t>
      </w:r>
      <w:proofErr w:type="spellEnd"/>
      <w:r>
        <w:rPr>
          <w:sz w:val="20"/>
          <w:szCs w:val="20"/>
        </w:rPr>
        <w:t xml:space="preserve"> syndrome. </w:t>
      </w:r>
      <w:r>
        <w:rPr>
          <w:rStyle w:val="Emphasis"/>
          <w:sz w:val="20"/>
          <w:szCs w:val="20"/>
        </w:rPr>
        <w:t>Annals of diagnostic pathology</w:t>
      </w:r>
      <w:r>
        <w:rPr>
          <w:sz w:val="20"/>
          <w:szCs w:val="20"/>
        </w:rPr>
        <w:t xml:space="preserve"> 50:151645</w:t>
      </w:r>
    </w:p>
    <w:p w:rsidR="00B72B8D" w:rsidRDefault="00B72B8D" w:rsidP="00B72B8D">
      <w:pPr>
        <w:pStyle w:val="NormalWeb"/>
      </w:pPr>
      <w:r>
        <w:rPr>
          <w:sz w:val="20"/>
          <w:szCs w:val="20"/>
        </w:rPr>
        <w:t xml:space="preserve">11. Tseng, C. et al. (2012) Immunization with SARS coronavirus vaccines leads to pulmonary immunopathology on challenge with the SARS virus. </w:t>
      </w:r>
      <w:proofErr w:type="spellStart"/>
      <w:r>
        <w:rPr>
          <w:rStyle w:val="Emphasis"/>
          <w:sz w:val="20"/>
          <w:szCs w:val="20"/>
        </w:rPr>
        <w:t>PLoS</w:t>
      </w:r>
      <w:proofErr w:type="spellEnd"/>
      <w:r>
        <w:rPr>
          <w:rStyle w:val="Emphasis"/>
          <w:sz w:val="20"/>
          <w:szCs w:val="20"/>
        </w:rPr>
        <w:t xml:space="preserve"> One</w:t>
      </w:r>
      <w:r>
        <w:rPr>
          <w:sz w:val="20"/>
          <w:szCs w:val="20"/>
        </w:rPr>
        <w:t xml:space="preserve"> 7:e35421</w:t>
      </w:r>
    </w:p>
    <w:p w:rsidR="00B72B8D" w:rsidRDefault="00B72B8D" w:rsidP="00B72B8D">
      <w:pPr>
        <w:pStyle w:val="NormalWeb"/>
      </w:pPr>
      <w:r>
        <w:rPr>
          <w:sz w:val="20"/>
          <w:szCs w:val="20"/>
        </w:rPr>
        <w:t xml:space="preserve">12. McCullough, P.A. et al. (2021) Pathophysiological Basis and Rationale for Early Outpatient Treatment of SARS-CoV-2 (COVID-19) Infection. </w:t>
      </w:r>
      <w:r>
        <w:rPr>
          <w:rStyle w:val="Emphasis"/>
          <w:sz w:val="20"/>
          <w:szCs w:val="20"/>
        </w:rPr>
        <w:t>Am. J. Med.</w:t>
      </w:r>
      <w:r>
        <w:rPr>
          <w:sz w:val="20"/>
          <w:szCs w:val="20"/>
        </w:rPr>
        <w:t xml:space="preserve"> 134:16-22</w:t>
      </w:r>
    </w:p>
    <w:p w:rsidR="00B72B8D" w:rsidRDefault="00B72B8D" w:rsidP="00B72B8D">
      <w:pPr>
        <w:pStyle w:val="NormalWeb"/>
      </w:pPr>
      <w:r>
        <w:rPr>
          <w:sz w:val="20"/>
          <w:szCs w:val="20"/>
        </w:rPr>
        <w:t>13. Johnson, L. (2021) Official Vaccine Injury and Fatality Data: EU, UK and US.</w:t>
      </w:r>
    </w:p>
    <w:p w:rsidR="00B72B8D" w:rsidRDefault="00B72B8D"/>
    <w:p w:rsidR="00B72B8D" w:rsidRDefault="00B72B8D">
      <w:pPr>
        <w:pBdr>
          <w:bottom w:val="double" w:sz="6" w:space="1" w:color="auto"/>
        </w:pBdr>
      </w:pPr>
    </w:p>
    <w:p w:rsidR="00B72B8D" w:rsidRDefault="00B72B8D"/>
    <w:sectPr w:rsidR="00B72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B8D"/>
    <w:rsid w:val="000B4858"/>
    <w:rsid w:val="00110EAE"/>
    <w:rsid w:val="00193B93"/>
    <w:rsid w:val="002C1182"/>
    <w:rsid w:val="004C237B"/>
    <w:rsid w:val="00504C63"/>
    <w:rsid w:val="0062058F"/>
    <w:rsid w:val="006A15E5"/>
    <w:rsid w:val="007243EE"/>
    <w:rsid w:val="008938CB"/>
    <w:rsid w:val="009C5FBD"/>
    <w:rsid w:val="00B04A73"/>
    <w:rsid w:val="00B72B8D"/>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72B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2B8D"/>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B72B8D"/>
    <w:rPr>
      <w:color w:val="0000FF" w:themeColor="hyperlink"/>
      <w:u w:val="single"/>
    </w:rPr>
  </w:style>
  <w:style w:type="paragraph" w:styleId="NormalWeb">
    <w:name w:val="Normal (Web)"/>
    <w:basedOn w:val="Normal"/>
    <w:uiPriority w:val="99"/>
    <w:semiHidden/>
    <w:unhideWhenUsed/>
    <w:rsid w:val="00B72B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72B8D"/>
  </w:style>
  <w:style w:type="character" w:customStyle="1" w:styleId="has-inline-color">
    <w:name w:val="has-inline-color"/>
    <w:basedOn w:val="DefaultParagraphFont"/>
    <w:rsid w:val="00B72B8D"/>
  </w:style>
  <w:style w:type="character" w:styleId="Emphasis">
    <w:name w:val="Emphasis"/>
    <w:basedOn w:val="DefaultParagraphFont"/>
    <w:uiPriority w:val="20"/>
    <w:qFormat/>
    <w:rsid w:val="00B72B8D"/>
    <w:rPr>
      <w:i/>
      <w:iCs/>
    </w:rPr>
  </w:style>
  <w:style w:type="character" w:styleId="Strong">
    <w:name w:val="Strong"/>
    <w:basedOn w:val="DefaultParagraphFont"/>
    <w:uiPriority w:val="22"/>
    <w:qFormat/>
    <w:rsid w:val="00B72B8D"/>
    <w:rPr>
      <w:b/>
      <w:bCs/>
    </w:rPr>
  </w:style>
  <w:style w:type="paragraph" w:styleId="BalloonText">
    <w:name w:val="Balloon Text"/>
    <w:basedOn w:val="Normal"/>
    <w:link w:val="BalloonTextChar"/>
    <w:uiPriority w:val="99"/>
    <w:semiHidden/>
    <w:unhideWhenUsed/>
    <w:rsid w:val="00B72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B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72B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2B8D"/>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B72B8D"/>
    <w:rPr>
      <w:color w:val="0000FF" w:themeColor="hyperlink"/>
      <w:u w:val="single"/>
    </w:rPr>
  </w:style>
  <w:style w:type="paragraph" w:styleId="NormalWeb">
    <w:name w:val="Normal (Web)"/>
    <w:basedOn w:val="Normal"/>
    <w:uiPriority w:val="99"/>
    <w:semiHidden/>
    <w:unhideWhenUsed/>
    <w:rsid w:val="00B72B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72B8D"/>
  </w:style>
  <w:style w:type="character" w:customStyle="1" w:styleId="has-inline-color">
    <w:name w:val="has-inline-color"/>
    <w:basedOn w:val="DefaultParagraphFont"/>
    <w:rsid w:val="00B72B8D"/>
  </w:style>
  <w:style w:type="character" w:styleId="Emphasis">
    <w:name w:val="Emphasis"/>
    <w:basedOn w:val="DefaultParagraphFont"/>
    <w:uiPriority w:val="20"/>
    <w:qFormat/>
    <w:rsid w:val="00B72B8D"/>
    <w:rPr>
      <w:i/>
      <w:iCs/>
    </w:rPr>
  </w:style>
  <w:style w:type="character" w:styleId="Strong">
    <w:name w:val="Strong"/>
    <w:basedOn w:val="DefaultParagraphFont"/>
    <w:uiPriority w:val="22"/>
    <w:qFormat/>
    <w:rsid w:val="00B72B8D"/>
    <w:rPr>
      <w:b/>
      <w:bCs/>
    </w:rPr>
  </w:style>
  <w:style w:type="paragraph" w:styleId="BalloonText">
    <w:name w:val="Balloon Text"/>
    <w:basedOn w:val="Normal"/>
    <w:link w:val="BalloonTextChar"/>
    <w:uiPriority w:val="99"/>
    <w:semiHidden/>
    <w:unhideWhenUsed/>
    <w:rsid w:val="00B72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2524">
      <w:bodyDiv w:val="1"/>
      <w:marLeft w:val="0"/>
      <w:marRight w:val="0"/>
      <w:marTop w:val="0"/>
      <w:marBottom w:val="0"/>
      <w:divBdr>
        <w:top w:val="none" w:sz="0" w:space="0" w:color="auto"/>
        <w:left w:val="none" w:sz="0" w:space="0" w:color="auto"/>
        <w:bottom w:val="none" w:sz="0" w:space="0" w:color="auto"/>
        <w:right w:val="none" w:sz="0" w:space="0" w:color="auto"/>
      </w:divBdr>
    </w:div>
    <w:div w:id="1934587392">
      <w:bodyDiv w:val="1"/>
      <w:marLeft w:val="0"/>
      <w:marRight w:val="0"/>
      <w:marTop w:val="0"/>
      <w:marBottom w:val="0"/>
      <w:divBdr>
        <w:top w:val="none" w:sz="0" w:space="0" w:color="auto"/>
        <w:left w:val="none" w:sz="0" w:space="0" w:color="auto"/>
        <w:bottom w:val="none" w:sz="0" w:space="0" w:color="auto"/>
        <w:right w:val="none" w:sz="0" w:space="0" w:color="auto"/>
      </w:divBdr>
      <w:divsChild>
        <w:div w:id="1693260493">
          <w:marLeft w:val="0"/>
          <w:marRight w:val="0"/>
          <w:marTop w:val="0"/>
          <w:marBottom w:val="0"/>
          <w:divBdr>
            <w:top w:val="none" w:sz="0" w:space="0" w:color="auto"/>
            <w:left w:val="none" w:sz="0" w:space="0" w:color="auto"/>
            <w:bottom w:val="none" w:sz="0" w:space="0" w:color="auto"/>
            <w:right w:val="none" w:sz="0" w:space="0" w:color="auto"/>
          </w:divBdr>
          <w:divsChild>
            <w:div w:id="624387847">
              <w:marLeft w:val="0"/>
              <w:marRight w:val="0"/>
              <w:marTop w:val="0"/>
              <w:marBottom w:val="0"/>
              <w:divBdr>
                <w:top w:val="none" w:sz="0" w:space="0" w:color="auto"/>
                <w:left w:val="none" w:sz="0" w:space="0" w:color="auto"/>
                <w:bottom w:val="none" w:sz="0" w:space="0" w:color="auto"/>
                <w:right w:val="none" w:sz="0" w:space="0" w:color="auto"/>
              </w:divBdr>
              <w:divsChild>
                <w:div w:id="526335186">
                  <w:marLeft w:val="0"/>
                  <w:marRight w:val="0"/>
                  <w:marTop w:val="0"/>
                  <w:marBottom w:val="0"/>
                  <w:divBdr>
                    <w:top w:val="none" w:sz="0" w:space="0" w:color="auto"/>
                    <w:left w:val="none" w:sz="0" w:space="0" w:color="auto"/>
                    <w:bottom w:val="none" w:sz="0" w:space="0" w:color="auto"/>
                    <w:right w:val="none" w:sz="0" w:space="0" w:color="auto"/>
                  </w:divBdr>
                  <w:divsChild>
                    <w:div w:id="313919418">
                      <w:marLeft w:val="0"/>
                      <w:marRight w:val="0"/>
                      <w:marTop w:val="0"/>
                      <w:marBottom w:val="0"/>
                      <w:divBdr>
                        <w:top w:val="none" w:sz="0" w:space="0" w:color="auto"/>
                        <w:left w:val="none" w:sz="0" w:space="0" w:color="auto"/>
                        <w:bottom w:val="none" w:sz="0" w:space="0" w:color="auto"/>
                        <w:right w:val="none" w:sz="0" w:space="0" w:color="auto"/>
                      </w:divBdr>
                    </w:div>
                    <w:div w:id="1848862478">
                      <w:marLeft w:val="0"/>
                      <w:marRight w:val="0"/>
                      <w:marTop w:val="0"/>
                      <w:marBottom w:val="0"/>
                      <w:divBdr>
                        <w:top w:val="none" w:sz="0" w:space="0" w:color="auto"/>
                        <w:left w:val="none" w:sz="0" w:space="0" w:color="auto"/>
                        <w:bottom w:val="none" w:sz="0" w:space="0" w:color="auto"/>
                        <w:right w:val="none" w:sz="0" w:space="0" w:color="auto"/>
                      </w:divBdr>
                    </w:div>
                    <w:div w:id="493297984">
                      <w:marLeft w:val="0"/>
                      <w:marRight w:val="0"/>
                      <w:marTop w:val="0"/>
                      <w:marBottom w:val="0"/>
                      <w:divBdr>
                        <w:top w:val="none" w:sz="0" w:space="0" w:color="auto"/>
                        <w:left w:val="none" w:sz="0" w:space="0" w:color="auto"/>
                        <w:bottom w:val="none" w:sz="0" w:space="0" w:color="auto"/>
                        <w:right w:val="none" w:sz="0" w:space="0" w:color="auto"/>
                      </w:divBdr>
                    </w:div>
                  </w:divsChild>
                </w:div>
                <w:div w:id="763846704">
                  <w:marLeft w:val="0"/>
                  <w:marRight w:val="0"/>
                  <w:marTop w:val="0"/>
                  <w:marBottom w:val="0"/>
                  <w:divBdr>
                    <w:top w:val="none" w:sz="0" w:space="0" w:color="auto"/>
                    <w:left w:val="none" w:sz="0" w:space="0" w:color="auto"/>
                    <w:bottom w:val="none" w:sz="0" w:space="0" w:color="auto"/>
                    <w:right w:val="none" w:sz="0" w:space="0" w:color="auto"/>
                  </w:divBdr>
                  <w:divsChild>
                    <w:div w:id="139388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36988">
              <w:marLeft w:val="0"/>
              <w:marRight w:val="0"/>
              <w:marTop w:val="0"/>
              <w:marBottom w:val="0"/>
              <w:divBdr>
                <w:top w:val="none" w:sz="0" w:space="0" w:color="auto"/>
                <w:left w:val="none" w:sz="0" w:space="0" w:color="auto"/>
                <w:bottom w:val="none" w:sz="0" w:space="0" w:color="auto"/>
                <w:right w:val="none" w:sz="0" w:space="0" w:color="auto"/>
              </w:divBdr>
              <w:divsChild>
                <w:div w:id="54460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77183">
          <w:marLeft w:val="0"/>
          <w:marRight w:val="0"/>
          <w:marTop w:val="0"/>
          <w:marBottom w:val="0"/>
          <w:divBdr>
            <w:top w:val="none" w:sz="0" w:space="0" w:color="auto"/>
            <w:left w:val="none" w:sz="0" w:space="0" w:color="auto"/>
            <w:bottom w:val="none" w:sz="0" w:space="0" w:color="auto"/>
            <w:right w:val="none" w:sz="0" w:space="0" w:color="auto"/>
          </w:divBdr>
          <w:divsChild>
            <w:div w:id="8837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research.ca/letter-physicians-four-new-scientific-discoveries-regarding-safety-efficacy-covid-19-vaccines/5749946?print=1" TargetMode="External"/><Relationship Id="rId13" Type="http://schemas.openxmlformats.org/officeDocument/2006/relationships/hyperlink" Target="https://www.instagram.com/crg_globalresearc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lobalresearch.ca/theme/science-and-medicine" TargetMode="External"/><Relationship Id="rId12" Type="http://schemas.openxmlformats.org/officeDocument/2006/relationships/image" Target="media/image3.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ncbi.nlm.nih.gov/pmc/articles/PMC8241425/" TargetMode="External"/><Relationship Id="rId1" Type="http://schemas.openxmlformats.org/officeDocument/2006/relationships/styles" Target="styles.xml"/><Relationship Id="rId6" Type="http://schemas.openxmlformats.org/officeDocument/2006/relationships/hyperlink" Target="https://doctors4covidethics.org/letter-to-physicians-four-new-scientific-discoveries-crucial-to-the-safety-and-efficacy-of-covid-19-vaccines/" TargetMode="External"/><Relationship Id="rId11" Type="http://schemas.openxmlformats.org/officeDocument/2006/relationships/image" Target="media/image2.png"/><Relationship Id="rId5" Type="http://schemas.openxmlformats.org/officeDocument/2006/relationships/hyperlink" Target="https://www.globalresearch.ca/author/doctors-for-covid-ethics" TargetMode="External"/><Relationship Id="rId15" Type="http://schemas.openxmlformats.org/officeDocument/2006/relationships/hyperlink" Target="https://tube.doctors4covidethics.org/videos/watch/57c4f2be-94dd-404b-a6c1-65156e3e4811" TargetMode="External"/><Relationship Id="rId10" Type="http://schemas.openxmlformats.org/officeDocument/2006/relationships/hyperlink" Target="https://www.globalresearch.ca/letter-physicians-four-new-scientific-discoveries-regarding-safety-efficacy-covid-19-vaccines/5749946?pdf=5749946"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tube.doctors4covidethics.org/videos/watch/7ca43fab-fa9d-46e6-ac7a-a0c739d9e2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1758</Words>
  <Characters>10026</Characters>
  <Application>Microsoft Office Word</Application>
  <DocSecurity>0</DocSecurity>
  <Lines>83</Lines>
  <Paragraphs>23</Paragraphs>
  <ScaleCrop>false</ScaleCrop>
  <Company/>
  <LinksUpToDate>false</LinksUpToDate>
  <CharactersWithSpaces>11761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1</cp:revision>
  <dcterms:created xsi:type="dcterms:W3CDTF">2021-07-22T01:27:00Z</dcterms:created>
  <dcterms:modified xsi:type="dcterms:W3CDTF">2021-07-22T01:30:00Z</dcterms:modified>
</cp:coreProperties>
</file>